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AF-11000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不動產及設備取得或增添作業之稽核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不定期（每半年至少查核乙次）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不定期（每半年至少查核乙次）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配合內部控制制度CF-11000修正。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公司取得或增添不動產及設備時是否依相關作業程序辦理。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公司取得或增添不動產及設備時是否依相關作業程序辦理。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公開發行公司取得或增添不動產及設備是否依「公開發行公司取得或處分資產處理準則」訂定之公司取得或處分資產處理作業程序辦理。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公開發行公司取得或增添不動產及設備是否依「公開發行公司取得或處分資產處理準則」訂定之公司取得或處分資產處理作業程序辦理。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取得或增添之不動產及設備，若對公司營運有重大影響者，是否依公司法第一百八十五條之規定經股東會同意行之。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取得或增添之不動產及設備，若對公司營運有重大影響者，是否依公司法第一百八十五條之規定經股東會同意行之。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受讓或讓與他人之全部或主要部分營業或財產者，是否先報經主管機關核准。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受讓或讓與他人之全部或主要部分營業或財產者，是否先報經主管機關核准。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(刪除)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(刪除)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除由金融機構兼營者另依有關法令規定外，是否未購置非營業用之不動產(因合併、受讓、裁撤分支機構</w:t>
            </w:r>
            <w:r>
              <w:rPr>
                <w:rFonts w:hint="eastAsia" w:ascii="新細明體" w:hAnsi="新細明體" w:eastAsia="新細明體" w:cs="新細明體"/>
                <w:b/>
                <w:u w:val="single"/>
                <w:color w:val="FF0000 "/>
              </w:rPr>
              <w:t>或簡易分支機構</w:t>
            </w:r>
            <w:r>
              <w:rPr>
                <w:rFonts w:hint="eastAsia" w:ascii="新細明體" w:hAnsi="新細明體" w:eastAsia="新細明體" w:cs="新細明體"/>
              </w:rPr>
              <w:t>、營業處所變更或縮減、因經營業務或經主管機關核准而持有非營業用不動產者，不在此限)；所持有營業用不動產及設備總額及非營業用不動產總額合計(含投資性不動產)是否未超過資產總額之百分之六十。(營業用不動產及設備總額及非營業用不動產總額比率之計算，得不計入重估增值及公允價值變動。資產總額之計算，應扣除</w:t>
            </w:r>
            <w:r>
              <w:rPr>
                <w:rFonts w:hint="eastAsia" w:ascii="新細明體" w:hAnsi="新細明體" w:eastAsia="新細明體" w:cs="新細明體"/>
                <w:b/>
                <w:u w:val="single"/>
                <w:color w:val="FF0000 "/>
              </w:rPr>
              <w:t>證券商</w:t>
            </w:r>
            <w:r>
              <w:rPr>
                <w:rFonts w:hint="eastAsia" w:ascii="新細明體" w:hAnsi="新細明體" w:eastAsia="新細明體" w:cs="新細明體"/>
              </w:rPr>
              <w:t>交割專戶銀行存款及受託買賣有價證券所生代收付性質之過渡性資產。)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除由金融機構兼營者另依有關法令規定外，是否未購置非營業用之不動產(因合併、受讓、裁撤分支機構、營業處所變更或縮減、因經營業務或經主管機關核准而持有非營業用不動產者，不在此限)；所持有營業用不動產及設備總額及非營業用不動產總額合計(含投資性不動產)是否未超過資產總額之百分之六十。(營業用不動產及設備總額及非營業用不動產總額比率之計算，得不計入重估增值及公允價值變動。資產總額之計算，應扣除交割專戶銀行存款</w:t>
            </w:r>
            <w:r>
              <w:rPr>
                <w:rFonts w:hint="eastAsia" w:ascii="新細明體" w:hAnsi="新細明體" w:eastAsia="新細明體" w:cs="新細明體"/>
                <w:b/>
                <w:color w:val="FF0000 "/>
              </w:rPr>
              <w:t>，</w:t>
            </w:r>
            <w:r>
              <w:rPr>
                <w:rFonts w:hint="eastAsia" w:ascii="新細明體" w:hAnsi="新細明體" w:eastAsia="新細明體" w:cs="新細明體"/>
              </w:rPr>
              <w:t>及受託買賣有價證券所生代收付性質之過渡性資產。)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取得或增添之場地如供營業使用者，是否依「證券商營業處所場地及設備標準」之規定辦理。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取得或增添之場地如供營業使用者，是否依「證券商營業處所場地及設備標準」之規定辦理。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公司取得或增添不動產(含預付房地款)是否提董事會核定。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公司取得或增添不動產(含預付房地款)是否提董事會核定。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公司取得或增添不動產(含預付房地款)是否依證交所「審核證券商購置不動產作業流程」之規定辦理申報。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公司取得或增添不動產(含預付房地款)是否依證交所「審核證券商購置不動產作業流程」之規定辦理申報。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申請公開發行或已公開發行公司向關係人購買不動產是否依「公開發行公司取得或處分資產處理準則」第三節規定辦理，並於事實發生之日起二日內向主管機關指定網站辦理公告申報。</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申請公開發行或已公開發行公司向關係人購買不動產是否依「公開發行公司取得或處分資產處理準則」第三節規定辦理，並於事實發生之日起二日內向主管機關指定網站辦理公告申報。</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